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ind w:left="5040"/>
        <w:rPr>
          <w:sz w:val="24"/>
          <w:szCs w:val="24"/>
        </w:rPr>
      </w:pPr>
      <w:r>
        <w:rPr>
          <w:rFonts w:eastAsia="Times New Roman" w:cs="Times New Roman" w:ascii="Times New Roman" w:hAnsi="Times New Roman"/>
          <w:sz w:val="24"/>
          <w:szCs w:val="24"/>
          <w:lang w:eastAsia="ru-RU"/>
        </w:rPr>
        <w:t>Приложение № 6</w:t>
      </w:r>
    </w:p>
    <w:p>
      <w:pPr>
        <w:pStyle w:val="Normal"/>
        <w:spacing w:lineRule="auto" w:line="240" w:before="0" w:after="0"/>
        <w:ind w:left="5040"/>
        <w:rPr>
          <w:sz w:val="24"/>
          <w:szCs w:val="24"/>
        </w:rPr>
      </w:pPr>
      <w:r>
        <w:rPr>
          <w:rFonts w:eastAsia="Times New Roman" w:cs="Times New Roman" w:ascii="Times New Roman" w:hAnsi="Times New Roman"/>
          <w:sz w:val="24"/>
          <w:szCs w:val="24"/>
          <w:lang w:eastAsia="ru-RU"/>
        </w:rPr>
        <w:t xml:space="preserve">к решению Совета Гауфского сельского поселения   Азовского немецкого национального муниципального района Омской области   «О бюджете Гауфского сельского поселения Азовского немецкого национального муниципального района Омской области на 2024 год и на плановый период 2025 и 2026 годов » № 34-168 от 22.12.2023г </w:t>
      </w:r>
      <w:r>
        <w:rPr>
          <w:rFonts w:ascii="Times New Roman" w:hAnsi="Times New Roman"/>
          <w:b w:val="false"/>
          <w:i w:val="false"/>
          <w:strike w:val="false"/>
          <w:dstrike w:val="false"/>
          <w:outline w:val="false"/>
          <w:shadow w:val="false"/>
          <w:color w:val="000000"/>
          <w:sz w:val="20"/>
          <w:szCs w:val="24"/>
          <w:u w:val="none"/>
          <w:em w:val="none"/>
        </w:rPr>
        <w:t>(</w:t>
      </w:r>
      <w:r>
        <w:rPr>
          <w:rFonts w:ascii="Times New Roman" w:hAnsi="Times New Roman"/>
          <w:b w:val="false"/>
          <w:i w:val="false"/>
          <w:strike w:val="false"/>
          <w:dstrike w:val="false"/>
          <w:outline w:val="false"/>
          <w:shadow w:val="false"/>
          <w:color w:val="000000"/>
          <w:sz w:val="20"/>
          <w:u w:val="none"/>
          <w:em w:val="none"/>
        </w:rPr>
        <w:t xml:space="preserve">в редакции Решения Совета </w:t>
      </w:r>
      <w:r>
        <w:rPr>
          <w:rFonts w:ascii="Times New Roman" w:hAnsi="Times New Roman"/>
          <w:b w:val="false"/>
          <w:i w:val="false"/>
          <w:strike w:val="false"/>
          <w:dstrike w:val="false"/>
          <w:outline w:val="false"/>
          <w:shadow w:val="false"/>
          <w:color w:val="000000"/>
          <w:sz w:val="22"/>
          <w:u w:val="none"/>
          <w:em w:val="none"/>
        </w:rPr>
        <w:t>от 26.04.2024 № 37-18</w:t>
      </w:r>
      <w:r>
        <w:rPr>
          <w:rFonts w:ascii="Times New Roman" w:hAnsi="Times New Roman"/>
          <w:b w:val="false"/>
          <w:i w:val="false"/>
          <w:strike w:val="false"/>
          <w:dstrike w:val="false"/>
          <w:outline w:val="false"/>
          <w:shadow w:val="false"/>
          <w:color w:val="000000"/>
          <w:sz w:val="22"/>
          <w:u w:val="none"/>
          <w:em w:val="none"/>
        </w:rPr>
        <w:t>7</w:t>
      </w:r>
      <w:r>
        <w:rPr>
          <w:rFonts w:ascii="Times New Roman" w:hAnsi="Times New Roman"/>
          <w:b w:val="false"/>
          <w:i w:val="false"/>
          <w:strike w:val="false"/>
          <w:dstrike w:val="false"/>
          <w:outline w:val="false"/>
          <w:shadow w:val="false"/>
          <w:color w:val="000000"/>
          <w:sz w:val="22"/>
          <w:u w:val="none"/>
          <w:em w:val="none"/>
        </w:rPr>
        <w:t>)</w:t>
      </w:r>
    </w:p>
    <w:p>
      <w:pPr>
        <w:pStyle w:val="Normal"/>
        <w:spacing w:lineRule="auto" w:line="240" w:before="0" w:after="0"/>
        <w:ind w:left="5040"/>
        <w:rPr>
          <w:sz w:val="24"/>
          <w:szCs w:val="24"/>
        </w:rPr>
      </w:pPr>
      <w:r>
        <w:rPr>
          <w:sz w:val="24"/>
          <w:szCs w:val="24"/>
        </w:rPr>
      </w:r>
    </w:p>
    <w:p>
      <w:pPr>
        <w:pStyle w:val="Normal"/>
        <w:spacing w:lineRule="auto" w:line="240" w:before="0" w:after="0"/>
        <w:ind w:left="5040"/>
        <w:rPr>
          <w:sz w:val="24"/>
          <w:szCs w:val="24"/>
        </w:rPr>
      </w:pPr>
      <w:r>
        <w:rPr>
          <w:sz w:val="24"/>
          <w:szCs w:val="24"/>
        </w:rPr>
      </w:r>
    </w:p>
    <w:p>
      <w:pPr>
        <w:pStyle w:val="Normal"/>
        <w:spacing w:lineRule="auto" w:line="240" w:before="0" w:after="0"/>
        <w:ind w:left="504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spacing w:lineRule="auto" w:line="240" w:before="0" w:after="0"/>
        <w:ind w:left="4680"/>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Случаи и порядок</w:t>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предоставления иных межбюджетных трансфертов бюджету Азовского немецкого национального муниципального района Омской области </w:t>
      </w:r>
    </w:p>
    <w:p>
      <w:pPr>
        <w:pStyle w:val="Normal"/>
        <w:spacing w:lineRule="auto" w:line="240" w:before="0" w:after="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на 2024 и на плановый период 2025 и 2026 годов </w:t>
      </w:r>
    </w:p>
    <w:p>
      <w:pPr>
        <w:pStyle w:val="Normal"/>
        <w:spacing w:lineRule="auto" w:line="240" w:before="0" w:after="0"/>
        <w:ind w:firstLine="6300"/>
        <w:jc w:val="center"/>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I. Случаи предоставления иных межбюджетных трансфертов</w:t>
      </w:r>
    </w:p>
    <w:p>
      <w:pPr>
        <w:pStyle w:val="Normal"/>
        <w:spacing w:lineRule="auto" w:line="240" w:before="0" w:after="0"/>
        <w:ind w:firstLine="720"/>
        <w:jc w:val="center"/>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Иные межбюджетные трансферты предоставляются бюджету Азовского немецкого национального муниципального района Омской области (далее – муниципальному району) из бюджета Гауфского сельского поселения Азовского немецкого национального муниципального района Омской области (далее - Гауфского сельского поселения) на выполнение расходных обязательств поселения, определенных Федеральным законом от 6 октября 2003 года № 131-ФЗ, в том числе: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иные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иные межбюджетные трансферты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Иные межбюджетные трансферты предоставляются бюджету муниципального</w:t>
      </w: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8"/>
          <w:szCs w:val="28"/>
          <w:lang w:eastAsia="ru-RU"/>
        </w:rPr>
        <w:t>района в случае подписания соглашения о передаче полномочий.</w:t>
      </w:r>
    </w:p>
    <w:p>
      <w:pPr>
        <w:pStyle w:val="Normal"/>
        <w:spacing w:lineRule="auto" w:line="240" w:before="0" w:after="0"/>
        <w:ind w:firstLine="720"/>
        <w:jc w:val="both"/>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II</w:t>
      </w:r>
      <w:r>
        <w:rPr>
          <w:rFonts w:eastAsia="Times New Roman" w:cs="Times New Roman" w:ascii="Times New Roman" w:hAnsi="Times New Roman"/>
          <w:sz w:val="28"/>
          <w:szCs w:val="28"/>
          <w:lang w:eastAsia="ru-RU"/>
        </w:rPr>
        <w:t>.Методика определения размера иных межбюджетных трансфертов</w:t>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1. 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 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Гауфском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 определяется по формуле:</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Tmp = (Ч х Р) х 12*Коб, где:</w:t>
      </w:r>
    </w:p>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Tmp - размер иных межбюджетных трансфертов бюджету муниципального района из бюджета сельского поселения на организацию и осуществление мероприятий по работе с детьми и молодежью;</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Ч - штатная численность специалистов по работе с детьми и молодежью в Гауфском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 на 1 января очередного финансового года;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 − среднемесячный размер заработной платы специалиста по работе с детьми и молодежью в Гауфском сельском поселении Межпоселенческого казенного учреждения "Центр по работе с детьми и молодежью" Азовского немецкого национального муниципального района Омской области с учетом районного коэффициента и страховых взносов во внебюджетные фонды, равный 29 361,79 рублей;</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12 − количество месяцев в году;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Коб – коэффициент обеспеченности доходной и расходной статей бюджета Гауфского сельского поселения на соответствующий финансовый год принимаемый 0,6.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(расчет согласно приложению №1 к настоящей методике).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 а также прочего (обслуживающего) персонала учреждений культуры, осуществляющих свою деятельность на территории Гауфского сельского поселения.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по формуле: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РИМБТ = (ШЧПП х РУМРОТ х 12) + (ШЧСУ х УСЗП х 12), где: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РИМБТ –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руб.;</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ШЧПП - штатная численность прочего персонала учреждений культуры, осуществляющих свою деятельность на территории сельского поселения и трудоустроенных в КУ «ЦБУК» Азовского ННМР Омской области на 1 января очередного финансового года;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РУМРОТ – расчетный уровень минимального размера оплаты труда в соответствии с федеральным законодательством, определяемый на уровне региона на соответствующий финансовый год, в соответствии с заключенным соглашением между Управлением культуры Азовского ННМР Омской области и Министерством Культуры Омской области;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12 − количество месяцев в году;</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ШЧСУ – штатная численность специалистов учреждений культуры, осуществляющих свою деятельность на территории сельского поселения и трудоустроенных в БУК «РЦД и МП» Азовского ННМР Омской области на 1 января очередного финансового года;</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УСЗП – уровень средней заработной платы по категории «работники культуры», определяемый на уровне региона на соответствующий финансовый год, в соответствии с заключенным соглашением между Управлением культуры Азовского ННМР Омской области и Министерством Культуры Омской области.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(расчет согласно приложению № 2 к настоящей методике).</w:t>
      </w:r>
    </w:p>
    <w:p>
      <w:pPr>
        <w:pStyle w:val="Normal"/>
        <w:spacing w:lineRule="auto" w:line="240" w:before="0" w:after="0"/>
        <w:ind w:firstLine="720"/>
        <w:jc w:val="center"/>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center"/>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val="en-US" w:eastAsia="ru-RU"/>
        </w:rPr>
        <w:t>III</w:t>
      </w:r>
      <w:r>
        <w:rPr>
          <w:rFonts w:eastAsia="Times New Roman" w:cs="Times New Roman" w:ascii="Times New Roman" w:hAnsi="Times New Roman"/>
          <w:sz w:val="28"/>
          <w:szCs w:val="28"/>
          <w:lang w:eastAsia="ru-RU"/>
        </w:rPr>
        <w:t>. Порядок предоставления иных межбюджетных трансфертов</w:t>
      </w:r>
    </w:p>
    <w:p>
      <w:pPr>
        <w:pStyle w:val="Normal"/>
        <w:spacing w:lineRule="auto" w:line="240" w:before="0" w:after="0"/>
        <w:ind w:firstLine="720"/>
        <w:rPr>
          <w:rFonts w:ascii="Times New Roman" w:hAnsi="Times New Roman" w:eastAsia="Times New Roman" w:cs="Times New Roman"/>
          <w:sz w:val="12"/>
          <w:szCs w:val="12"/>
          <w:lang w:eastAsia="ru-RU"/>
        </w:rPr>
      </w:pPr>
      <w:r>
        <w:rPr>
          <w:rFonts w:eastAsia="Times New Roman" w:cs="Times New Roman" w:ascii="Times New Roman" w:hAnsi="Times New Roman"/>
          <w:sz w:val="12"/>
          <w:szCs w:val="12"/>
          <w:lang w:eastAsia="ru-RU"/>
        </w:rPr>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Иные межбюджетные трансферты предоставляются бюджету Азовского немецкого национального муниципального района в соответствии со сводной бюджетной росписью бюджета Гауфского сельского поселения на 2024 год и на плановый период 2025 и 2026 годов и кассовым планом исполнения бюджета Гауфского сельского поселения на 2024 год и на плановый период 2025 и 2026 годов. </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Иные межбюджетные трансферты перечисляются с лицевого счета Администрации Гауфского сельского поселения на единый счет бюджета муниципального района и расходуются через лицевые счета, открытые получателями средств бюджета муниципального района, в соответствии с законодательством.</w:t>
      </w:r>
    </w:p>
    <w:p>
      <w:pPr>
        <w:pStyle w:val="Normal"/>
        <w:spacing w:lineRule="auto" w:line="240" w:before="0" w:after="0"/>
        <w:ind w:firstLine="720"/>
        <w:jc w:val="both"/>
        <w:rPr>
          <w:rFonts w:ascii="Times New Roman" w:hAnsi="Times New Roman" w:eastAsia="Times New Roman" w:cs="Times New Roman"/>
          <w:sz w:val="20"/>
          <w:szCs w:val="20"/>
          <w:lang w:eastAsia="ru-RU"/>
        </w:rPr>
      </w:pPr>
      <w:r>
        <w:rPr>
          <w:rFonts w:eastAsia="Times New Roman" w:cs="Times New Roman" w:ascii="Times New Roman" w:hAnsi="Times New Roman"/>
          <w:sz w:val="28"/>
          <w:szCs w:val="28"/>
          <w:lang w:eastAsia="ru-RU"/>
        </w:rPr>
        <w:t>При несоблюдении органами местного самоуправления муниципального района условий соглашения о передаче им осуществления части полномочий поселения Администрация Гауфского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 обуславливающих условия предоставления иных межбюджетных трансфертов.</w:t>
      </w:r>
      <w:r>
        <w:rPr>
          <w:rFonts w:eastAsia="Times New Roman" w:cs="Times New Roman" w:ascii="Times New Roman" w:hAnsi="Times New Roman"/>
          <w:sz w:val="20"/>
          <w:szCs w:val="20"/>
          <w:lang w:eastAsia="ru-RU"/>
        </w:rPr>
        <w:t xml:space="preserve"> </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Главные распорядители средств районного бюджета не несут ответственность за нецелевое использование иных межбюджетных трансфертов в соответствии с законодательством.</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Условием предоставления иных межбюджетных трансфертов бюджету муниципального района является своевременное представление отчетов об использовании иных межбюджетных трансфертов, предусмотренных настоящим Порядком.</w:t>
      </w:r>
    </w:p>
    <w:p>
      <w:pPr>
        <w:pStyle w:val="Normal"/>
        <w:spacing w:lineRule="auto" w:line="240" w:before="0" w:after="0"/>
        <w:ind w:firstLine="72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Главный распорядитель средств районного бюджета ежемесячно, не позднее 15 числа месяца, следующего за отчетным периодом, представляют Администрации Гауфского сельского поселения отчет об использовании иных межбюджетных трансфертов по форме, установленной настоящим Порядком.</w:t>
      </w:r>
    </w:p>
    <w:p>
      <w:pPr>
        <w:sectPr>
          <w:type w:val="nextPage"/>
          <w:pgSz w:w="11906" w:h="16838"/>
          <w:pgMar w:left="1418" w:right="851" w:gutter="0" w:header="0" w:top="567" w:footer="0" w:bottom="567"/>
          <w:pgNumType w:fmt="decimal"/>
          <w:formProt w:val="false"/>
          <w:textDirection w:val="lrTb"/>
          <w:docGrid w:type="default" w:linePitch="360" w:charSpace="4096"/>
        </w:sectPr>
        <w:pStyle w:val="Normal"/>
        <w:spacing w:lineRule="auto" w:line="240" w:before="0" w:after="0"/>
        <w:ind w:firstLine="720"/>
        <w:jc w:val="both"/>
        <w:rPr>
          <w:rFonts w:ascii="Times New Roman" w:hAnsi="Times New Roman" w:eastAsia="Times New Roman" w:cs="Times New Roman"/>
          <w:sz w:val="28"/>
          <w:szCs w:val="28"/>
        </w:rPr>
      </w:pPr>
      <w:r>
        <w:rPr>
          <w:rFonts w:eastAsia="Times New Roman" w:cs="Times New Roman" w:ascii="Times New Roman" w:hAnsi="Times New Roman"/>
          <w:sz w:val="28"/>
          <w:szCs w:val="28"/>
          <w:lang w:eastAsia="ru-RU"/>
        </w:rPr>
        <w:t>Главные распорядители средств районного бюджета несут ответственность за нецелевое использование иных межбюджетных трансфертов в соответствии с законодательством.</w:t>
      </w:r>
    </w:p>
    <w:p>
      <w:pPr>
        <w:pStyle w:val="Normal"/>
        <w:spacing w:before="0" w:after="200"/>
        <w:rPr/>
      </w:pPr>
      <w:r>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roman"/>
    <w:pitch w:val="variable"/>
  </w:font>
  <w:font w:name="Tahoma">
    <w:charset w:val="cc"/>
    <w:family w:val="roman"/>
    <w:pitch w:val="variable"/>
  </w:font>
  <w:font w:name="Times New Roman">
    <w:charset w:val="cc"/>
    <w:family w:val="roman"/>
    <w:pitch w:val="variable"/>
  </w:font>
</w:fonts>
</file>

<file path=word/settings.xml><?xml version="1.0" encoding="utf-8"?>
<w:settings xmlns:w="http://schemas.openxmlformats.org/wordprocessingml/2006/main">
  <w:zoom w:percent="100"/>
  <w:defaultTabStop w:val="708"/>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paragraph" w:styleId="Style14">
    <w:name w:val="Заголовок"/>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Style15">
    <w:name w:val="Указатель"/>
    <w:basedOn w:val="Normal"/>
    <w:qFormat/>
    <w:pPr>
      <w:suppressLineNumbers/>
    </w:pPr>
    <w:rPr>
      <w:rFonts w:cs="Arial"/>
    </w:rPr>
  </w:style>
  <w:style w:type="paragraph" w:styleId="Style16" w:customStyle="1">
    <w:name w:val="Знак"/>
    <w:basedOn w:val="Normal"/>
    <w:qFormat/>
    <w:rsid w:val="009775b3"/>
    <w:pPr>
      <w:spacing w:lineRule="auto" w:line="240" w:beforeAutospacing="1" w:afterAutospacing="1"/>
    </w:pPr>
    <w:rPr>
      <w:rFonts w:ascii="Tahoma" w:hAnsi="Tahoma" w:eastAsia="Times New Roman" w:cs="Tahoma"/>
      <w:sz w:val="20"/>
      <w:szCs w:val="20"/>
      <w:lang w:val="en-U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36</TotalTime>
  <Application>LibreOffice/7.6.3.2$Windows_X86_64 LibreOffice_project/29d686fea9f6705b262d369fede658f824154cc0</Application>
  <AppVersion>15.0000</AppVersion>
  <Pages>4</Pages>
  <Words>945</Words>
  <Characters>6663</Characters>
  <CharactersWithSpaces>7623</CharactersWithSpaces>
  <Paragraphs>38</Paragraphs>
  <Company>Home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2018-11-13T15:51:00Z</dcterms:created>
  <dc:creator>gauf</dc:creator>
  <dc:description/>
  <dc:language>ru-RU</dc:language>
  <cp:lastModifiedBy/>
  <dcterms:modified xsi:type="dcterms:W3CDTF">2024-05-14T22:05:41Z</dcterms:modified>
  <cp:revision>23</cp:revision>
  <dc:subject/>
  <dc:title/>
</cp:coreProperties>
</file>

<file path=docProps/custom.xml><?xml version="1.0" encoding="utf-8"?>
<Properties xmlns="http://schemas.openxmlformats.org/officeDocument/2006/custom-properties" xmlns:vt="http://schemas.openxmlformats.org/officeDocument/2006/docPropsVTypes"/>
</file>