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ascii="Times New Roman" w:hAnsi="Times New Roman"/>
          <w:b w:val="false"/>
          <w:i w:val="false"/>
          <w:strike w:val="false"/>
          <w:dstrike w:val="false"/>
          <w:outline w:val="false"/>
          <w:shadow w:val="false"/>
          <w:color w:val="000000"/>
          <w:sz w:val="20"/>
          <w:szCs w:val="24"/>
          <w:u w:val="none"/>
          <w:em w:val="none"/>
        </w:rPr>
        <w:t>(</w:t>
      </w:r>
      <w:r>
        <w:rPr>
          <w:rFonts w:ascii="Times New Roman" w:hAnsi="Times New Roman"/>
          <w:b w:val="false"/>
          <w:i w:val="false"/>
          <w:strike w:val="false"/>
          <w:dstrike w:val="false"/>
          <w:outline w:val="false"/>
          <w:shadow w:val="false"/>
          <w:color w:val="000000"/>
          <w:sz w:val="20"/>
          <w:u w:val="none"/>
          <w:em w:val="none"/>
        </w:rPr>
        <w:t xml:space="preserve">в редакции Решения Совета </w:t>
      </w:r>
      <w:r>
        <w:rPr>
          <w:rFonts w:ascii="Times New Roman" w:hAnsi="Times New Roman"/>
          <w:b w:val="false"/>
          <w:i w:val="false"/>
          <w:strike w:val="false"/>
          <w:dstrike w:val="false"/>
          <w:outline w:val="false"/>
          <w:shadow w:val="false"/>
          <w:color w:val="000000"/>
          <w:sz w:val="22"/>
          <w:u w:val="none"/>
          <w:em w:val="none"/>
        </w:rPr>
        <w:t xml:space="preserve">от </w:t>
      </w:r>
      <w:r>
        <w:rPr>
          <w:rFonts w:ascii="Times New Roman" w:hAnsi="Times New Roman"/>
          <w:b w:val="false"/>
          <w:i w:val="false"/>
          <w:strike w:val="false"/>
          <w:dstrike w:val="false"/>
          <w:outline w:val="false"/>
          <w:shadow w:val="false"/>
          <w:color w:val="000000"/>
          <w:sz w:val="22"/>
          <w:u w:val="none"/>
          <w:em w:val="none"/>
        </w:rPr>
        <w:t>14</w:t>
      </w:r>
      <w:r>
        <w:rPr>
          <w:rFonts w:ascii="Times New Roman" w:hAnsi="Times New Roman"/>
          <w:b w:val="false"/>
          <w:i w:val="false"/>
          <w:strike w:val="false"/>
          <w:dstrike w:val="false"/>
          <w:outline w:val="false"/>
          <w:shadow w:val="false"/>
          <w:color w:val="000000"/>
          <w:sz w:val="22"/>
          <w:u w:val="none"/>
          <w:em w:val="none"/>
        </w:rPr>
        <w:t>.0</w:t>
      </w:r>
      <w:r>
        <w:rPr>
          <w:rFonts w:ascii="Times New Roman" w:hAnsi="Times New Roman"/>
          <w:b w:val="false"/>
          <w:i w:val="false"/>
          <w:strike w:val="false"/>
          <w:dstrike w:val="false"/>
          <w:outline w:val="false"/>
          <w:shadow w:val="false"/>
          <w:color w:val="000000"/>
          <w:sz w:val="22"/>
          <w:u w:val="none"/>
          <w:em w:val="none"/>
        </w:rPr>
        <w:t>6</w:t>
      </w:r>
      <w:r>
        <w:rPr>
          <w:rFonts w:ascii="Times New Roman" w:hAnsi="Times New Roman"/>
          <w:b w:val="false"/>
          <w:i w:val="false"/>
          <w:strike w:val="false"/>
          <w:dstrike w:val="false"/>
          <w:outline w:val="false"/>
          <w:shadow w:val="false"/>
          <w:color w:val="000000"/>
          <w:sz w:val="22"/>
          <w:u w:val="none"/>
          <w:em w:val="none"/>
        </w:rPr>
        <w:t xml:space="preserve">.2024 № </w:t>
      </w:r>
      <w:r>
        <w:rPr>
          <w:rFonts w:ascii="Times New Roman" w:hAnsi="Times New Roman"/>
          <w:b w:val="false"/>
          <w:i w:val="false"/>
          <w:strike w:val="false"/>
          <w:dstrike w:val="false"/>
          <w:outline w:val="false"/>
          <w:shadow w:val="false"/>
          <w:color w:val="000000"/>
          <w:sz w:val="22"/>
          <w:u w:val="none"/>
          <w:em w:val="none"/>
        </w:rPr>
        <w:t>38-190</w:t>
      </w:r>
      <w:r>
        <w:rPr>
          <w:rFonts w:ascii="Times New Roman" w:hAnsi="Times New Roman"/>
          <w:b w:val="false"/>
          <w:i w:val="false"/>
          <w:strike w:val="false"/>
          <w:dstrike w:val="false"/>
          <w:outline w:val="false"/>
          <w:shadow w:val="false"/>
          <w:color w:val="000000"/>
          <w:sz w:val="22"/>
          <w:u w:val="none"/>
          <w:em w:val="none"/>
        </w:rPr>
        <w:t>)</w:t>
      </w:r>
    </w:p>
    <w:p>
      <w:pPr>
        <w:pStyle w:val="Normal"/>
        <w:spacing w:lineRule="auto" w:line="240" w:before="0" w:after="0"/>
        <w:ind w:left="5040"/>
        <w:rPr>
          <w:sz w:val="24"/>
          <w:szCs w:val="24"/>
        </w:rPr>
      </w:pPr>
      <w:r>
        <w:rPr>
          <w:sz w:val="24"/>
          <w:szCs w:val="24"/>
        </w:rPr>
      </w:r>
    </w:p>
    <w:p>
      <w:pPr>
        <w:pStyle w:val="Normal"/>
        <w:spacing w:lineRule="auto" w:line="240" w:before="0" w:after="0"/>
        <w:ind w:left="5040"/>
        <w:rPr>
          <w:sz w:val="24"/>
          <w:szCs w:val="24"/>
        </w:rPr>
      </w:pPr>
      <w:r>
        <w:rPr>
          <w:sz w:val="24"/>
          <w:szCs w:val="24"/>
        </w:rPr>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945</Words>
  <Characters>6663</Characters>
  <CharactersWithSpaces>7623</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2024-06-20T10:51:22Z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