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B3" w:rsidRPr="009775B3" w:rsidRDefault="00BE33C3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385E09" w:rsidRDefault="000F1C27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04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Азовского немецкого национального муниципального района Омско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области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бюджете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Азовского немецкого национального муниципально</w:t>
      </w:r>
      <w:r w:rsidR="002E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Омской области на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2024 и 2025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25-127 от 22.12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9C0E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A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85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решения Совета </w:t>
      </w:r>
      <w:proofErr w:type="gramEnd"/>
    </w:p>
    <w:p w:rsidR="009775B3" w:rsidRPr="009775B3" w:rsidRDefault="000A3A80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31-157 от 28.09.</w:t>
      </w:r>
      <w:r w:rsidR="00385E09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2023г)</w:t>
      </w:r>
      <w:bookmarkStart w:id="0" w:name="_GoBack"/>
      <w:bookmarkEnd w:id="0"/>
    </w:p>
    <w:p w:rsidR="009775B3" w:rsidRPr="009775B3" w:rsidRDefault="009775B3" w:rsidP="009775B3">
      <w:pPr>
        <w:spacing w:after="0" w:line="240" w:lineRule="auto"/>
        <w:ind w:left="468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Случаи и порядок</w:t>
      </w:r>
    </w:p>
    <w:p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бюджету Азовского немецкого национального муниципального района Омской области </w:t>
      </w:r>
    </w:p>
    <w:p w:rsidR="009775B3" w:rsidRPr="009775B3" w:rsidRDefault="00CB04C2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и на плановый период 2024 и 2025</w:t>
      </w:r>
      <w:r w:rsidR="00AD5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4D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75B3" w:rsidRPr="009775B3" w:rsidRDefault="009775B3" w:rsidP="009775B3">
      <w:pPr>
        <w:spacing w:after="0" w:line="240" w:lineRule="auto"/>
        <w:ind w:firstLine="630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I. Случаи предоставления иных межбюджетных трансфертов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Азовского немецкого национального муниципального района Омской области (далее -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молодежью.</w:t>
      </w:r>
    </w:p>
    <w:p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из бюджетов сельских поселений в бюджет муниципального района на создание условий для организации д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осуга и обеспечения жителей сельского поселения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услугами организаций культуры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Иные межбюджетные трансферты предоставляются бюджету муниципального</w:t>
      </w:r>
      <w:r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случае подписания соглашения о передаче полномочий.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.Методика определения размера иных межбюджетных трансфертов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D1D" w:rsidRPr="00642D1D" w:rsidRDefault="00642D1D" w:rsidP="0064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</w:t>
      </w:r>
      <w:proofErr w:type="gram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</w:t>
      </w:r>
      <w:proofErr w:type="gram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молодежью" Азовского немецкого национального муниципального района Омской области.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по формуле: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Tmp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(Ч х Р) х 12*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Tmp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- штатная численность специалиста по работе с детьми и молодежью в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среднемесячной заработной платы специалиста по работе с детьми и молодежью в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26 914,58 рублей;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12 − количество месяцев в году;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обеспеченности доходной и расходной статей бюджета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соответствующий финансовый год равный 0,6.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№1 к настоящей методике)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</w:t>
      </w:r>
      <w:proofErr w:type="gram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proofErr w:type="gram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Чпп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МРОТ х 12 х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) + (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Чспук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ЗП х 12 х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где: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proofErr w:type="gram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Азовского немецкого национального муниципального района Омской области, руб.;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Чпп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среднесписочная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МРОТ – расчетный уровень минимального </w:t>
      </w:r>
      <w:proofErr w:type="gram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Администрацией Азовского ННМР Омской области и Министерством Культуры Омской области;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12 − количество месяцев в году;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обеспеченности доходной и расходной статей бюджета </w:t>
      </w: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соответствующий финансовый год равный 1,0;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Чспук</w:t>
      </w:r>
      <w:proofErr w:type="spellEnd"/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среднесписочная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Администрацией Азовского ННМР Омской области и Министерством Культуры Омской области.</w:t>
      </w:r>
    </w:p>
    <w:p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 2 к настоящей методике)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D1D" w:rsidRDefault="00642D1D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42D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предоставления иных межбюджетных трансфертов</w:t>
      </w:r>
    </w:p>
    <w:p w:rsidR="009775B3" w:rsidRPr="009775B3" w:rsidRDefault="009775B3" w:rsidP="009775B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2023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2024 и 2025</w:t>
      </w:r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кассовым планом исполнения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2023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2024 и 2025</w:t>
      </w:r>
      <w:r w:rsidR="00C02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перечисляются с лицевого счета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  <w:r w:rsidRPr="009775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средств районного бюджета ежемесячно, не позднее 15 числа месяца, следующего за отчетным периодом, представляют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отчет об использовании иных межбюджетных трансфертов по форме, установленной настоящим Порядком.</w:t>
      </w:r>
    </w:p>
    <w:p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775B3" w:rsidRPr="009775B3" w:rsidSect="00F3254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93FE0" w:rsidRDefault="00C93FE0"/>
    <w:sectPr w:rsidR="00C9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3"/>
    <w:rsid w:val="000A3A80"/>
    <w:rsid w:val="000F1C27"/>
    <w:rsid w:val="00204770"/>
    <w:rsid w:val="002E5907"/>
    <w:rsid w:val="00385E09"/>
    <w:rsid w:val="00393695"/>
    <w:rsid w:val="003E24C4"/>
    <w:rsid w:val="00441CB4"/>
    <w:rsid w:val="00482178"/>
    <w:rsid w:val="004D0D04"/>
    <w:rsid w:val="004D63BF"/>
    <w:rsid w:val="00606496"/>
    <w:rsid w:val="00642D1D"/>
    <w:rsid w:val="007740C9"/>
    <w:rsid w:val="007C6F79"/>
    <w:rsid w:val="009775B3"/>
    <w:rsid w:val="009C0EA1"/>
    <w:rsid w:val="00A417A9"/>
    <w:rsid w:val="00A82D0B"/>
    <w:rsid w:val="00AD5413"/>
    <w:rsid w:val="00B92B58"/>
    <w:rsid w:val="00BB0F97"/>
    <w:rsid w:val="00BE33C3"/>
    <w:rsid w:val="00C02F19"/>
    <w:rsid w:val="00C93FE0"/>
    <w:rsid w:val="00CB04C2"/>
    <w:rsid w:val="00E328AA"/>
    <w:rsid w:val="00E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75B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75B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1165</Words>
  <Characters>6647</Characters>
  <Application>Microsoft Office Word</Application>
  <DocSecurity>0</DocSecurity>
  <Lines>55</Lines>
  <Paragraphs>15</Paragraphs>
  <ScaleCrop>false</ScaleCrop>
  <Company>Home</Company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gauf</dc:creator>
  <cp:lastModifiedBy>Glawbuh</cp:lastModifiedBy>
  <cp:revision>35</cp:revision>
  <dcterms:created xsi:type="dcterms:W3CDTF">2018-11-13T15:51:00Z</dcterms:created>
  <dcterms:modified xsi:type="dcterms:W3CDTF">2023-10-13T07:40:00Z</dcterms:modified>
</cp:coreProperties>
</file>